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rFonts w:hint="default" w:ascii="黑体" w:hAnsi="黑体" w:eastAsia="黑体" w:cs="黑体"/>
          <w:color w:val="auto"/>
          <w:sz w:val="32"/>
          <w:szCs w:val="32"/>
          <w:highlight w:val="none"/>
          <w:lang w:val="en-US" w:eastAsia="zh-CN"/>
        </w:rPr>
      </w:pPr>
    </w:p>
    <w:p>
      <w:pPr>
        <w:spacing w:line="64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lang w:val="en-US" w:eastAsia="zh-CN"/>
        </w:rPr>
        <w:t>知识产权纠纷多元化解决</w:t>
      </w:r>
      <w:r>
        <w:rPr>
          <w:rFonts w:hint="eastAsia" w:ascii="方正小标宋简体" w:hAnsi="方正小标宋简体" w:eastAsia="方正小标宋简体" w:cs="方正小标宋简体"/>
          <w:kern w:val="0"/>
          <w:sz w:val="44"/>
          <w:szCs w:val="44"/>
        </w:rPr>
        <w:t>项目申报指南</w:t>
      </w:r>
    </w:p>
    <w:p>
      <w:pPr>
        <w:spacing w:line="360" w:lineRule="auto"/>
        <w:ind w:firstLine="640" w:firstLineChars="200"/>
        <w:rPr>
          <w:rFonts w:hAnsi="黑体" w:eastAsia="黑体"/>
          <w:szCs w:val="32"/>
          <w:highlight w:val="none"/>
        </w:rPr>
      </w:pPr>
    </w:p>
    <w:p>
      <w:pPr>
        <w:spacing w:line="360" w:lineRule="auto"/>
        <w:ind w:firstLine="640" w:firstLineChars="200"/>
        <w:rPr>
          <w:rFonts w:eastAsia="黑体"/>
          <w:szCs w:val="32"/>
          <w:highlight w:val="none"/>
        </w:rPr>
      </w:pPr>
      <w:r>
        <w:rPr>
          <w:rFonts w:hAnsi="黑体" w:eastAsia="黑体"/>
          <w:szCs w:val="32"/>
          <w:highlight w:val="none"/>
        </w:rPr>
        <w:t>一、项目名称</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知识产权纠纷多元化解决</w:t>
      </w:r>
      <w:r>
        <w:rPr>
          <w:rFonts w:hint="eastAsia" w:ascii="仿宋_GB2312" w:hAnsi="仿宋_GB2312" w:eastAsia="仿宋_GB2312" w:cs="仿宋_GB2312"/>
          <w:sz w:val="32"/>
          <w:szCs w:val="32"/>
        </w:rPr>
        <w:t>项目</w:t>
      </w:r>
    </w:p>
    <w:p>
      <w:pPr>
        <w:spacing w:line="360" w:lineRule="auto"/>
        <w:ind w:firstLine="640" w:firstLineChars="200"/>
        <w:rPr>
          <w:rFonts w:eastAsia="黑体"/>
          <w:szCs w:val="32"/>
          <w:highlight w:val="none"/>
        </w:rPr>
      </w:pPr>
      <w:r>
        <w:rPr>
          <w:rFonts w:hAnsi="黑体" w:eastAsia="黑体"/>
          <w:szCs w:val="32"/>
          <w:highlight w:val="none"/>
        </w:rPr>
        <w:t>二、</w:t>
      </w:r>
      <w:r>
        <w:rPr>
          <w:rFonts w:hint="eastAsia" w:hAnsi="黑体" w:eastAsia="黑体"/>
          <w:szCs w:val="32"/>
          <w:highlight w:val="none"/>
        </w:rPr>
        <w:t>工作</w:t>
      </w:r>
      <w:r>
        <w:rPr>
          <w:rFonts w:hAnsi="黑体" w:eastAsia="黑体"/>
          <w:szCs w:val="32"/>
          <w:highlight w:val="none"/>
        </w:rPr>
        <w:t>目标</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完善知识产权纠纷多元化解决机制，大力开展知识产权纠纷调解工作，为中小企业提供专利、商标等领域的维权援助服务，推动知识产权调解仲裁</w:t>
      </w:r>
      <w:r>
        <w:rPr>
          <w:rFonts w:hint="eastAsia" w:ascii="仿宋_GB2312" w:hAnsi="仿宋_GB2312" w:cs="仿宋_GB2312"/>
          <w:color w:val="000000"/>
          <w:kern w:val="0"/>
          <w:sz w:val="32"/>
          <w:szCs w:val="32"/>
          <w:lang w:val="en-US" w:eastAsia="zh-CN"/>
        </w:rPr>
        <w:t>等有效衔接</w:t>
      </w:r>
      <w:r>
        <w:rPr>
          <w:rFonts w:hint="eastAsia" w:ascii="仿宋_GB2312" w:hAnsi="仿宋_GB2312" w:eastAsia="仿宋_GB2312" w:cs="仿宋_GB2312"/>
          <w:color w:val="000000"/>
          <w:kern w:val="0"/>
          <w:sz w:val="32"/>
          <w:szCs w:val="32"/>
          <w:lang w:val="en-US" w:eastAsia="zh-CN"/>
        </w:rPr>
        <w:t>。</w:t>
      </w:r>
    </w:p>
    <w:p>
      <w:pPr>
        <w:spacing w:line="360" w:lineRule="auto"/>
        <w:ind w:firstLine="640" w:firstLineChars="200"/>
        <w:rPr>
          <w:rFonts w:hAnsi="黑体" w:eastAsia="黑体"/>
          <w:szCs w:val="32"/>
          <w:highlight w:val="none"/>
        </w:rPr>
      </w:pPr>
      <w:r>
        <w:rPr>
          <w:rFonts w:hAnsi="黑体" w:eastAsia="黑体"/>
          <w:szCs w:val="32"/>
          <w:highlight w:val="none"/>
        </w:rPr>
        <w:t>三、</w:t>
      </w:r>
      <w:r>
        <w:rPr>
          <w:rFonts w:hint="eastAsia" w:hAnsi="黑体" w:eastAsia="黑体"/>
          <w:szCs w:val="32"/>
          <w:highlight w:val="none"/>
        </w:rPr>
        <w:t>项目</w:t>
      </w:r>
      <w:r>
        <w:rPr>
          <w:rFonts w:hAnsi="黑体" w:eastAsia="黑体"/>
          <w:szCs w:val="32"/>
          <w:highlight w:val="none"/>
        </w:rPr>
        <w:t>任务</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（一）协助开展知识产权纠纷人民调解工作，完成不少于</w:t>
      </w:r>
      <w:r>
        <w:rPr>
          <w:rFonts w:hint="eastAsia" w:ascii="仿宋_GB2312" w:hAnsi="仿宋_GB2312" w:cs="仿宋_GB2312"/>
          <w:color w:val="000000"/>
          <w:kern w:val="0"/>
          <w:sz w:val="32"/>
          <w:szCs w:val="32"/>
          <w:lang w:val="en-US" w:eastAsia="zh-CN"/>
        </w:rPr>
        <w:t>80</w:t>
      </w:r>
      <w:r>
        <w:rPr>
          <w:rFonts w:hint="eastAsia" w:ascii="仿宋_GB2312" w:hAnsi="仿宋_GB2312" w:eastAsia="仿宋_GB2312" w:cs="仿宋_GB2312"/>
          <w:color w:val="000000"/>
          <w:kern w:val="0"/>
          <w:sz w:val="32"/>
          <w:szCs w:val="32"/>
          <w:lang w:val="en-US" w:eastAsia="zh-CN"/>
        </w:rPr>
        <w:t>宗知识产权纠纷调解案件。</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（二）</w:t>
      </w:r>
      <w:r>
        <w:rPr>
          <w:rFonts w:hint="eastAsia" w:ascii="仿宋_GB2312" w:hAnsi="仿宋_GB2312" w:cs="仿宋_GB2312"/>
          <w:color w:val="000000"/>
          <w:kern w:val="0"/>
          <w:sz w:val="32"/>
          <w:szCs w:val="32"/>
          <w:lang w:val="en-US" w:eastAsia="zh-CN"/>
        </w:rPr>
        <w:t>协助</w:t>
      </w:r>
      <w:r>
        <w:rPr>
          <w:rFonts w:hint="eastAsia" w:ascii="仿宋_GB2312" w:hAnsi="仿宋_GB2312" w:eastAsia="仿宋_GB2312" w:cs="仿宋_GB2312"/>
          <w:color w:val="000000"/>
          <w:kern w:val="0"/>
          <w:sz w:val="32"/>
          <w:szCs w:val="32"/>
          <w:lang w:val="en-US" w:eastAsia="zh-CN"/>
        </w:rPr>
        <w:t>建设维权援助服务站点不少于3个，并做好新建维权援助服务站点挂牌及制度上墙等相关工作。</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（三）</w:t>
      </w:r>
      <w:r>
        <w:rPr>
          <w:rFonts w:hint="eastAsia" w:ascii="仿宋_GB2312" w:hAnsi="仿宋_GB2312" w:cs="仿宋_GB2312"/>
          <w:color w:val="000000"/>
          <w:kern w:val="0"/>
          <w:sz w:val="32"/>
          <w:szCs w:val="32"/>
          <w:lang w:val="en-US" w:eastAsia="zh-CN"/>
        </w:rPr>
        <w:t>协助</w:t>
      </w:r>
      <w:r>
        <w:rPr>
          <w:rFonts w:hint="eastAsia" w:ascii="仿宋_GB2312" w:hAnsi="仿宋_GB2312" w:eastAsia="仿宋_GB2312" w:cs="仿宋_GB2312"/>
          <w:color w:val="000000"/>
          <w:kern w:val="0"/>
          <w:sz w:val="32"/>
          <w:szCs w:val="32"/>
          <w:lang w:val="en-US" w:eastAsia="zh-CN"/>
        </w:rPr>
        <w:t>提供维权援助服务不少于50次。</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cs="仿宋_GB2312"/>
          <w:color w:val="000000"/>
          <w:kern w:val="0"/>
          <w:sz w:val="32"/>
          <w:szCs w:val="32"/>
          <w:lang w:val="en-US" w:eastAsia="zh-CN"/>
        </w:rPr>
        <w:t>（四）</w:t>
      </w:r>
      <w:r>
        <w:rPr>
          <w:rFonts w:hint="eastAsia" w:ascii="仿宋_GB2312" w:hAnsi="仿宋_GB2312" w:eastAsia="仿宋_GB2312" w:cs="仿宋_GB2312"/>
          <w:color w:val="000000"/>
          <w:kern w:val="0"/>
          <w:sz w:val="32"/>
          <w:szCs w:val="32"/>
          <w:lang w:val="en-US" w:eastAsia="zh-CN"/>
        </w:rPr>
        <w:t>协助提供海外知识产权纠纷应对指导不少于</w:t>
      </w:r>
      <w:r>
        <w:rPr>
          <w:rFonts w:hint="eastAsia" w:ascii="仿宋_GB2312" w:hAnsi="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lang w:val="en-US" w:eastAsia="zh-CN"/>
        </w:rPr>
        <w:t>宗。</w:t>
      </w:r>
    </w:p>
    <w:p>
      <w:pPr>
        <w:spacing w:line="360" w:lineRule="auto"/>
        <w:ind w:firstLine="640" w:firstLineChars="200"/>
        <w:rPr>
          <w:rFonts w:hint="eastAsia"/>
          <w:lang w:val="en-US" w:eastAsia="zh-CN"/>
        </w:rPr>
      </w:pPr>
      <w:r>
        <w:rPr>
          <w:rFonts w:hint="eastAsia" w:ascii="仿宋_GB2312" w:hAnsi="仿宋_GB2312" w:eastAsia="仿宋_GB2312" w:cs="仿宋_GB2312"/>
          <w:color w:val="000000"/>
          <w:kern w:val="0"/>
          <w:sz w:val="32"/>
          <w:szCs w:val="32"/>
          <w:lang w:val="en-US" w:eastAsia="zh-CN"/>
        </w:rPr>
        <w:t>（五）协助推广海外知识产权侵权责任险</w:t>
      </w:r>
      <w:r>
        <w:rPr>
          <w:rFonts w:hint="eastAsia" w:ascii="仿宋_GB2312" w:hAnsi="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lang w:val="en-US" w:eastAsia="zh-CN"/>
        </w:rPr>
        <w:t>发布海外知识产权风险预警提示及典型案例每季度不少于2期。</w:t>
      </w:r>
    </w:p>
    <w:p>
      <w:pPr>
        <w:spacing w:line="360" w:lineRule="auto"/>
        <w:ind w:firstLine="640" w:firstLineChars="200"/>
        <w:rPr>
          <w:rFonts w:hint="default" w:ascii="仿宋_GB2312" w:hAnsi="仿宋_GB2312" w:eastAsia="仿宋_GB2312" w:cs="仿宋_GB2312"/>
          <w:color w:val="000000"/>
          <w:kern w:val="0"/>
          <w:sz w:val="32"/>
          <w:szCs w:val="32"/>
          <w:lang w:val="en-US" w:eastAsia="zh-CN"/>
        </w:rPr>
      </w:pPr>
      <w:r>
        <w:rPr>
          <w:rFonts w:hint="eastAsia" w:ascii="仿宋_GB2312" w:hAnsi="仿宋_GB2312" w:cs="仿宋_GB2312"/>
          <w:color w:val="000000"/>
          <w:kern w:val="0"/>
          <w:sz w:val="32"/>
          <w:szCs w:val="32"/>
          <w:lang w:val="en-US" w:eastAsia="zh-CN"/>
        </w:rPr>
        <w:t>（六）协助提供专利检索分析、知识产权法律、政策事务咨询、企业专利微导航等公共服务不少于10次。</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w:t>
      </w:r>
      <w:r>
        <w:rPr>
          <w:rFonts w:hint="eastAsia" w:ascii="仿宋_GB2312" w:hAnsi="仿宋_GB2312" w:cs="仿宋_GB2312"/>
          <w:color w:val="000000"/>
          <w:kern w:val="0"/>
          <w:sz w:val="32"/>
          <w:szCs w:val="32"/>
          <w:lang w:val="en-US" w:eastAsia="zh-CN"/>
        </w:rPr>
        <w:t>七</w:t>
      </w:r>
      <w:r>
        <w:rPr>
          <w:rFonts w:hint="eastAsia" w:ascii="仿宋_GB2312" w:hAnsi="仿宋_GB2312" w:eastAsia="仿宋_GB2312" w:cs="仿宋_GB2312"/>
          <w:color w:val="000000"/>
          <w:kern w:val="0"/>
          <w:sz w:val="32"/>
          <w:szCs w:val="32"/>
          <w:lang w:val="en-US" w:eastAsia="zh-CN"/>
        </w:rPr>
        <w:t>）协调相关知识产权专家协助提供指导意见5件。</w:t>
      </w:r>
    </w:p>
    <w:p>
      <w:pPr>
        <w:spacing w:line="360" w:lineRule="auto"/>
        <w:ind w:firstLine="640" w:firstLineChars="200"/>
        <w:rPr>
          <w:rFonts w:ascii="黑体" w:hAnsi="黑体" w:eastAsia="黑体" w:cs="黑体"/>
          <w:szCs w:val="32"/>
          <w:highlight w:val="none"/>
        </w:rPr>
      </w:pPr>
      <w:r>
        <w:rPr>
          <w:rFonts w:hint="eastAsia" w:ascii="黑体" w:hAnsi="黑体" w:eastAsia="黑体" w:cs="黑体"/>
          <w:szCs w:val="32"/>
          <w:highlight w:val="none"/>
        </w:rPr>
        <w:t>四、项目数量及实施周期</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本项目计划立项1项，每项</w:t>
      </w:r>
      <w:r>
        <w:rPr>
          <w:rFonts w:hint="eastAsia" w:ascii="仿宋_GB2312" w:hAnsi="仿宋_GB2312" w:cs="仿宋_GB2312"/>
          <w:color w:val="000000"/>
          <w:kern w:val="0"/>
          <w:sz w:val="32"/>
          <w:szCs w:val="32"/>
          <w:lang w:val="en-US" w:eastAsia="zh-CN"/>
        </w:rPr>
        <w:t>不超过</w:t>
      </w: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lang w:val="en-US" w:eastAsia="zh-CN"/>
        </w:rPr>
        <w:t>万元</w:t>
      </w:r>
      <w:r>
        <w:rPr>
          <w:rFonts w:hint="eastAsia" w:ascii="仿宋_GB2312" w:hAnsi="仿宋_GB2312" w:cs="仿宋_GB2312"/>
          <w:color w:val="000000"/>
          <w:kern w:val="0"/>
          <w:sz w:val="32"/>
          <w:szCs w:val="32"/>
          <w:lang w:val="en-US" w:eastAsia="zh-CN"/>
        </w:rPr>
        <w:t>（含12万元）</w:t>
      </w:r>
      <w:r>
        <w:rPr>
          <w:rFonts w:hint="eastAsia" w:ascii="仿宋_GB2312" w:hAnsi="仿宋_GB2312" w:eastAsia="仿宋_GB2312" w:cs="仿宋_GB2312"/>
          <w:color w:val="000000"/>
          <w:kern w:val="0"/>
          <w:sz w:val="32"/>
          <w:szCs w:val="32"/>
          <w:lang w:val="en-US" w:eastAsia="zh-CN"/>
        </w:rPr>
        <w:t>，项目实施周期至2025年1</w:t>
      </w:r>
      <w:r>
        <w:rPr>
          <w:rFonts w:hint="eastAsia" w:ascii="仿宋_GB2312" w:hAnsi="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lang w:val="en-US" w:eastAsia="zh-CN"/>
        </w:rPr>
        <w:t>月3</w:t>
      </w:r>
      <w:r>
        <w:rPr>
          <w:rFonts w:hint="eastAsia" w:ascii="仿宋_GB2312" w:hAnsi="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lang w:val="en-US" w:eastAsia="zh-CN"/>
        </w:rPr>
        <w:t>日结束。</w:t>
      </w:r>
    </w:p>
    <w:p>
      <w:pPr>
        <w:spacing w:line="360" w:lineRule="auto"/>
        <w:ind w:firstLine="640" w:firstLineChars="200"/>
        <w:rPr>
          <w:rFonts w:hint="eastAsia" w:ascii="黑体" w:hAnsi="黑体" w:eastAsia="黑体" w:cs="黑体"/>
          <w:szCs w:val="32"/>
          <w:highlight w:val="none"/>
          <w:lang w:eastAsia="zh-CN"/>
        </w:rPr>
      </w:pPr>
      <w:r>
        <w:rPr>
          <w:rFonts w:hint="eastAsia" w:ascii="黑体" w:hAnsi="黑体" w:eastAsia="黑体" w:cs="黑体"/>
          <w:szCs w:val="32"/>
          <w:highlight w:val="none"/>
        </w:rPr>
        <w:t>五、申报主体及</w:t>
      </w:r>
      <w:r>
        <w:rPr>
          <w:rFonts w:hint="eastAsia" w:ascii="黑体" w:hAnsi="黑体" w:eastAsia="黑体" w:cs="黑体"/>
          <w:szCs w:val="32"/>
          <w:highlight w:val="none"/>
          <w:lang w:eastAsia="zh-CN"/>
        </w:rPr>
        <w:t>条件</w:t>
      </w:r>
    </w:p>
    <w:p>
      <w:pPr>
        <w:spacing w:line="360" w:lineRule="auto"/>
        <w:ind w:firstLine="640" w:firstLineChars="200"/>
        <w:rPr>
          <w:rFonts w:hint="eastAsia" w:ascii="CESI楷体-GB2312" w:hAnsi="CESI楷体-GB2312" w:eastAsia="CESI楷体-GB2312" w:cs="CESI楷体-GB2312"/>
          <w:color w:val="000000"/>
          <w:kern w:val="0"/>
          <w:sz w:val="32"/>
          <w:szCs w:val="32"/>
          <w:lang w:val="en-US" w:eastAsia="zh-CN"/>
        </w:rPr>
      </w:pPr>
      <w:r>
        <w:rPr>
          <w:rFonts w:hint="eastAsia" w:ascii="CESI楷体-GB2312" w:hAnsi="CESI楷体-GB2312" w:eastAsia="CESI楷体-GB2312" w:cs="CESI楷体-GB2312"/>
          <w:color w:val="000000"/>
          <w:kern w:val="0"/>
          <w:sz w:val="32"/>
          <w:szCs w:val="32"/>
          <w:lang w:val="en-US" w:eastAsia="zh-CN"/>
        </w:rPr>
        <w:t>（一）申报主体：</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default" w:ascii="Times New Roman" w:hAnsi="Times New Roman" w:eastAsia="仿宋_GB2312" w:cs="Times New Roman"/>
          <w:kern w:val="2"/>
          <w:sz w:val="32"/>
          <w:szCs w:val="32"/>
          <w:lang w:val="en-US" w:eastAsia="zh-CN" w:bidi="ar"/>
        </w:rPr>
        <w:t>合法注册登记，具有独立法人资格的企事业单位、行业协会、知识产权服务机构等</w:t>
      </w:r>
      <w:r>
        <w:rPr>
          <w:rFonts w:hint="eastAsia" w:ascii="仿宋_GB2312" w:hAnsi="仿宋_GB2312" w:eastAsia="仿宋_GB2312" w:cs="仿宋_GB2312"/>
          <w:color w:val="000000"/>
          <w:kern w:val="0"/>
          <w:sz w:val="32"/>
          <w:szCs w:val="32"/>
          <w:lang w:val="en-US" w:eastAsia="zh-CN"/>
        </w:rPr>
        <w:t>，具有固定的办公场所和必要的设施条件，具备丰富的相关工作经验。</w:t>
      </w:r>
    </w:p>
    <w:p>
      <w:pPr>
        <w:pStyle w:val="2"/>
        <w:numPr>
          <w:ilvl w:val="0"/>
          <w:numId w:val="0"/>
        </w:numPr>
        <w:ind w:leftChars="0" w:firstLine="640" w:firstLineChars="200"/>
        <w:rPr>
          <w:rFonts w:hint="eastAsia" w:ascii="CESI楷体-GB2312" w:hAnsi="CESI楷体-GB2312" w:eastAsia="CESI楷体-GB2312" w:cs="CESI楷体-GB2312"/>
          <w:color w:val="000000"/>
          <w:kern w:val="0"/>
          <w:sz w:val="32"/>
          <w:szCs w:val="32"/>
          <w:lang w:val="en-US" w:eastAsia="zh-CN"/>
        </w:rPr>
      </w:pPr>
      <w:r>
        <w:rPr>
          <w:rFonts w:hint="eastAsia" w:ascii="CESI楷体-GB2312" w:hAnsi="CESI楷体-GB2312" w:eastAsia="CESI楷体-GB2312" w:cs="CESI楷体-GB2312"/>
          <w:color w:val="000000"/>
          <w:kern w:val="0"/>
          <w:sz w:val="32"/>
          <w:szCs w:val="32"/>
          <w:lang w:val="en-US" w:eastAsia="zh-CN"/>
        </w:rPr>
        <w:t>（二）申报条件：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1.近三年在经营活动中没有重大违法违规记录（指供应商因违法经营受到刑事处罚或者责令停产停业、吊销许可证或者执照、较大数额罚款等行政处罚）。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2.具有履行合同所必需的专业技术能力。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3.本次项目不接受联合体申报。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5.具备良好商业信誉。（指未被列入“信用中国”网站“记录失信被执行人、重大税收违法案件当事人名单、政府采购严重违法失信行为”记录）。</w:t>
      </w:r>
    </w:p>
    <w:p>
      <w:pPr>
        <w:spacing w:line="360" w:lineRule="auto"/>
        <w:ind w:firstLine="640" w:firstLineChars="200"/>
        <w:rPr>
          <w:rFonts w:hint="eastAsia" w:ascii="黑体" w:hAnsi="黑体" w:eastAsia="黑体" w:cs="黑体"/>
          <w:highlight w:val="none"/>
        </w:rPr>
      </w:pPr>
      <w:r>
        <w:rPr>
          <w:rFonts w:hint="eastAsia" w:ascii="黑体" w:hAnsi="黑体" w:eastAsia="黑体" w:cs="黑体"/>
          <w:szCs w:val="32"/>
          <w:highlight w:val="none"/>
        </w:rPr>
        <w:t>六、申报材料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0"/>
          <w:szCs w:val="30"/>
        </w:rPr>
      </w:pPr>
      <w:r>
        <w:rPr>
          <w:rFonts w:hint="default" w:ascii="Times New Roman" w:hAnsi="Times New Roman" w:eastAsia="仿宋_GB2312" w:cs="Times New Roman"/>
          <w:color w:val="000000"/>
          <w:kern w:val="0"/>
          <w:sz w:val="32"/>
          <w:szCs w:val="32"/>
          <w:lang w:val="en-US" w:eastAsia="zh-CN" w:bidi="ar"/>
        </w:rPr>
        <w:t>（一）《知识产权纠纷多元化解决项目申报书》；</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0"/>
          <w:szCs w:val="30"/>
        </w:rPr>
      </w:pPr>
      <w:r>
        <w:rPr>
          <w:rFonts w:hint="default" w:ascii="Times New Roman" w:hAnsi="Times New Roman" w:eastAsia="仿宋_GB2312" w:cs="Times New Roman"/>
          <w:color w:val="000000"/>
          <w:kern w:val="0"/>
          <w:sz w:val="32"/>
          <w:szCs w:val="32"/>
          <w:lang w:val="en-US" w:eastAsia="zh-CN" w:bidi="ar"/>
        </w:rPr>
        <w:t>（二）</w:t>
      </w:r>
      <w:r>
        <w:rPr>
          <w:rFonts w:hint="default" w:ascii="Times New Roman" w:hAnsi="Times New Roman" w:cs="Times New Roman"/>
          <w:color w:val="000000"/>
          <w:kern w:val="0"/>
          <w:sz w:val="32"/>
          <w:szCs w:val="32"/>
          <w:lang w:val="en-US" w:eastAsia="zh-CN" w:bidi="ar"/>
        </w:rPr>
        <w:t>法人</w:t>
      </w:r>
      <w:r>
        <w:rPr>
          <w:rFonts w:hint="default" w:ascii="Times New Roman" w:hAnsi="Times New Roman" w:eastAsia="仿宋_GB2312" w:cs="Times New Roman"/>
          <w:color w:val="000000"/>
          <w:kern w:val="0"/>
          <w:sz w:val="32"/>
          <w:szCs w:val="32"/>
          <w:lang w:val="en-US" w:eastAsia="zh-CN" w:bidi="ar"/>
        </w:rPr>
        <w:t>证书复印件；</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（三）能佐证申报书内容的相关证明材料；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（四）资金测算明细申报表；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eastAsia" w:cs="Times New Roman"/>
          <w:color w:val="000000"/>
          <w:kern w:val="0"/>
          <w:sz w:val="32"/>
          <w:szCs w:val="32"/>
          <w:lang w:val="en-US" w:eastAsia="zh-CN" w:bidi="ar"/>
        </w:rPr>
        <w:t>（五）</w:t>
      </w:r>
      <w:r>
        <w:rPr>
          <w:rFonts w:ascii="Times New Roman" w:hAnsi="Times New Roman" w:eastAsia="仿宋_GB2312" w:cs="Times New Roman"/>
          <w:spacing w:val="-6"/>
          <w:sz w:val="32"/>
          <w:szCs w:val="32"/>
        </w:rPr>
        <w:t>近两年的财务报表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w:t>
      </w:r>
      <w:r>
        <w:rPr>
          <w:rFonts w:hint="eastAsia" w:cs="Times New Roman"/>
          <w:color w:val="000000"/>
          <w:kern w:val="0"/>
          <w:sz w:val="32"/>
          <w:szCs w:val="32"/>
          <w:lang w:val="en-US" w:eastAsia="zh-CN" w:bidi="ar"/>
        </w:rPr>
        <w:t>六</w:t>
      </w:r>
      <w:r>
        <w:rPr>
          <w:rFonts w:hint="default" w:ascii="Times New Roman" w:hAnsi="Times New Roman" w:eastAsia="仿宋_GB2312" w:cs="Times New Roman"/>
          <w:color w:val="000000"/>
          <w:kern w:val="0"/>
          <w:sz w:val="32"/>
          <w:szCs w:val="32"/>
          <w:lang w:val="en-US" w:eastAsia="zh-CN" w:bidi="ar"/>
        </w:rPr>
        <w:t>）申报单位认为需要提交的其他材料。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0"/>
          <w:sz w:val="32"/>
          <w:szCs w:val="32"/>
          <w:lang w:val="en-US" w:eastAsia="zh-CN" w:bidi="ar"/>
        </w:rPr>
        <w:t>上述材料均需加盖公章。</w:t>
      </w:r>
    </w:p>
    <w:p>
      <w:pPr>
        <w:spacing w:line="600" w:lineRule="exact"/>
        <w:ind w:firstLine="640" w:firstLineChars="200"/>
        <w:rPr>
          <w:rFonts w:eastAsia="黑体"/>
          <w:szCs w:val="32"/>
          <w:highlight w:val="none"/>
        </w:rPr>
      </w:pPr>
      <w:r>
        <w:rPr>
          <w:rFonts w:hint="eastAsia" w:eastAsia="黑体"/>
          <w:szCs w:val="32"/>
          <w:highlight w:val="none"/>
        </w:rPr>
        <w:t>七</w:t>
      </w:r>
      <w:r>
        <w:rPr>
          <w:rFonts w:eastAsia="黑体"/>
          <w:szCs w:val="32"/>
          <w:highlight w:val="none"/>
        </w:rPr>
        <w:t>、其他事项</w:t>
      </w:r>
    </w:p>
    <w:p>
      <w:pPr>
        <w:pageBreakBefore w:val="0"/>
        <w:widowControl/>
        <w:kinsoku/>
        <w:overflowPunct/>
        <w:topLinePunct w:val="0"/>
        <w:bidi w:val="0"/>
        <w:spacing w:line="560" w:lineRule="exact"/>
        <w:ind w:firstLine="640" w:firstLineChars="200"/>
        <w:textAlignment w:val="auto"/>
        <w:rPr>
          <w:rFonts w:ascii="Times New Roman" w:hAnsi="Times New Roman" w:cs="Times New Roman"/>
          <w:sz w:val="30"/>
          <w:szCs w:val="30"/>
        </w:rPr>
      </w:pPr>
      <w:r>
        <w:rPr>
          <w:rFonts w:ascii="Times New Roman" w:hAnsi="Times New Roman" w:eastAsia="仿宋_GB2312" w:cs="Times New Roman"/>
          <w:kern w:val="0"/>
          <w:sz w:val="32"/>
          <w:szCs w:val="32"/>
        </w:rPr>
        <w:t>（一）本次申报及评审结果仅将列入</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w:t>
      </w:r>
      <w:r>
        <w:rPr>
          <w:rFonts w:hint="eastAsia" w:ascii="Times New Roman" w:hAnsi="Times New Roman" w:cs="Times New Roman"/>
          <w:kern w:val="0"/>
          <w:sz w:val="32"/>
          <w:szCs w:val="32"/>
          <w:lang w:eastAsia="zh-CN"/>
        </w:rPr>
        <w:t>2025年项目入库名单</w:t>
      </w:r>
      <w:r>
        <w:rPr>
          <w:rFonts w:ascii="Times New Roman" w:hAnsi="Times New Roman" w:eastAsia="仿宋_GB2312" w:cs="Times New Roman"/>
          <w:kern w:val="0"/>
          <w:sz w:val="32"/>
          <w:szCs w:val="32"/>
        </w:rPr>
        <w:t>，我局将根据项目预算等实际情况综合确定本次评审项目是否立项。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对申报书相关内容填写要求：申报单位在填写目标任务及工作内容部分时，可在我局对此项目任务的总体要求基础上，充分发挥主观能动性，创新谋划一些能体现对此项目任务总体要求的具体工作；在计划进度部分，统一按</w:t>
      </w:r>
      <w:r>
        <w:rPr>
          <w:rFonts w:hint="eastAsia" w:ascii="Times New Roman" w:hAnsi="Times New Roman" w:cs="Times New Roman"/>
          <w:kern w:val="0"/>
          <w:sz w:val="32"/>
          <w:szCs w:val="32"/>
          <w:lang w:eastAsia="zh-CN"/>
        </w:rPr>
        <w:t>2025年3月起至2025年1</w:t>
      </w:r>
      <w:r>
        <w:rPr>
          <w:rFonts w:hint="eastAsia" w:cs="Times New Roman"/>
          <w:kern w:val="0"/>
          <w:sz w:val="32"/>
          <w:szCs w:val="32"/>
          <w:lang w:val="en-US" w:eastAsia="zh-CN"/>
        </w:rPr>
        <w:t>1</w:t>
      </w:r>
      <w:r>
        <w:rPr>
          <w:rFonts w:hint="eastAsia" w:ascii="Times New Roman" w:hAnsi="Times New Roman" w:cs="Times New Roman"/>
          <w:kern w:val="0"/>
          <w:sz w:val="32"/>
          <w:szCs w:val="32"/>
          <w:lang w:eastAsia="zh-CN"/>
        </w:rPr>
        <w:t>月止</w:t>
      </w:r>
      <w:r>
        <w:rPr>
          <w:rFonts w:hint="default" w:ascii="Times New Roman" w:hAnsi="Times New Roman" w:eastAsia="仿宋_GB2312" w:cs="Times New Roman"/>
          <w:kern w:val="0"/>
          <w:sz w:val="32"/>
          <w:szCs w:val="32"/>
        </w:rPr>
        <w:t>；在预期成果及考核指标部分，要与具体工作相对应，要能真实反映此项目实施后产生的效益，不要随意扩大项目成果，更不要将一些全省或本区域整体性的成果作为此项目的预期成果；在项目经费预算部分，预算要合理</w:t>
      </w:r>
      <w:r>
        <w:rPr>
          <w:rFonts w:hint="default" w:ascii="Times New Roman" w:hAnsi="Times New Roman" w:cs="Times New Roman"/>
          <w:kern w:val="0"/>
          <w:sz w:val="32"/>
          <w:szCs w:val="32"/>
        </w:rPr>
        <w:t>和</w:t>
      </w:r>
      <w:r>
        <w:rPr>
          <w:rFonts w:hint="default" w:ascii="Times New Roman" w:hAnsi="Times New Roman" w:eastAsia="仿宋_GB2312" w:cs="Times New Roman"/>
          <w:kern w:val="0"/>
          <w:sz w:val="32"/>
          <w:szCs w:val="32"/>
        </w:rPr>
        <w:t>细化，哪项活动多少人力支出、多少硬件支出等要明确，要按“标准×数量”的格式列出</w:t>
      </w:r>
      <w:r>
        <w:rPr>
          <w:rFonts w:hint="default" w:ascii="Times New Roman" w:hAnsi="Times New Roman" w:cs="Times New Roman"/>
          <w:kern w:val="0"/>
          <w:sz w:val="32"/>
          <w:szCs w:val="32"/>
        </w:rPr>
        <w:t>。</w:t>
      </w:r>
    </w:p>
    <w:p>
      <w:pPr>
        <w:pageBreakBefore w:val="0"/>
        <w:widowControl/>
        <w:kinsoku/>
        <w:overflowPunct/>
        <w:topLinePunct w:val="0"/>
        <w:bidi w:val="0"/>
        <w:spacing w:line="560" w:lineRule="exact"/>
        <w:ind w:firstLine="640" w:firstLineChars="200"/>
        <w:textAlignment w:val="auto"/>
        <w:rPr>
          <w:rFonts w:ascii="Times New Roman" w:hAnsi="Times New Roman" w:cs="Times New Roman"/>
          <w:sz w:val="30"/>
          <w:szCs w:val="30"/>
        </w:rPr>
      </w:pPr>
      <w:r>
        <w:rPr>
          <w:rFonts w:ascii="Times New Roman" w:hAnsi="Times New Roman" w:eastAsia="仿宋_GB2312" w:cs="Times New Roman"/>
          <w:kern w:val="0"/>
          <w:sz w:val="32"/>
          <w:szCs w:val="32"/>
        </w:rPr>
        <w:t>（</w:t>
      </w:r>
      <w:r>
        <w:rPr>
          <w:rFonts w:hint="default" w:ascii="Times New Roman" w:hAnsi="Times New Roman" w:cs="Times New Roman"/>
          <w:kern w:val="0"/>
          <w:sz w:val="32"/>
          <w:szCs w:val="32"/>
        </w:rPr>
        <w:t>三</w:t>
      </w:r>
      <w:r>
        <w:rPr>
          <w:rFonts w:ascii="Times New Roman" w:hAnsi="Times New Roman" w:eastAsia="仿宋_GB2312" w:cs="Times New Roman"/>
          <w:kern w:val="0"/>
          <w:sz w:val="32"/>
          <w:szCs w:val="32"/>
        </w:rPr>
        <w:t>）合同管理：项目立项后，</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市场监管局与承担单位签署项目合同书，作为项目管理的重要依据。</w:t>
      </w:r>
    </w:p>
    <w:p>
      <w:pPr>
        <w:pageBreakBefore w:val="0"/>
        <w:widowControl/>
        <w:kinsoku/>
        <w:overflowPunct/>
        <w:topLinePunct w:val="0"/>
        <w:bidi w:val="0"/>
        <w:spacing w:line="560" w:lineRule="exact"/>
        <w:ind w:firstLine="640" w:firstLineChars="200"/>
        <w:textAlignment w:val="auto"/>
        <w:rPr>
          <w:rFonts w:hint="eastAsia"/>
        </w:rPr>
      </w:pPr>
      <w:r>
        <w:rPr>
          <w:rFonts w:ascii="Times New Roman" w:hAnsi="Times New Roman" w:eastAsia="仿宋_GB2312" w:cs="Times New Roman"/>
          <w:kern w:val="0"/>
          <w:sz w:val="32"/>
          <w:szCs w:val="32"/>
        </w:rPr>
        <w:t>（</w:t>
      </w:r>
      <w:r>
        <w:rPr>
          <w:rFonts w:hint="default" w:ascii="Times New Roman" w:hAnsi="Times New Roman" w:cs="Times New Roman"/>
          <w:kern w:val="0"/>
          <w:sz w:val="32"/>
          <w:szCs w:val="32"/>
        </w:rPr>
        <w:t>四</w:t>
      </w:r>
      <w:r>
        <w:rPr>
          <w:rFonts w:ascii="Times New Roman" w:hAnsi="Times New Roman" w:eastAsia="仿宋_GB2312" w:cs="Times New Roman"/>
          <w:kern w:val="0"/>
          <w:sz w:val="32"/>
          <w:szCs w:val="32"/>
        </w:rPr>
        <w:t>）项目检查验收：</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w:t>
      </w:r>
      <w:r>
        <w:rPr>
          <w:rFonts w:hint="default" w:ascii="Times New Roman" w:hAnsi="Times New Roman" w:eastAsia="仿宋_GB2312" w:cs="Times New Roman"/>
          <w:kern w:val="0"/>
          <w:sz w:val="32"/>
          <w:szCs w:val="32"/>
        </w:rPr>
        <w:t>局</w:t>
      </w:r>
      <w:r>
        <w:rPr>
          <w:rFonts w:ascii="Times New Roman" w:hAnsi="Times New Roman" w:eastAsia="仿宋_GB2312" w:cs="Times New Roman"/>
          <w:kern w:val="0"/>
          <w:sz w:val="32"/>
          <w:szCs w:val="32"/>
        </w:rPr>
        <w:t>对项目实施情况进行不定期监督检查，项目承担单位应按照检查要求提供项目实施进展及资金使用情况材料，配合开展实地检查。项目完成后，项目承担单位应及时总结并申请验收，向</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市场监管局报送工作成果，由</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市场监管局组织专家验收，验收通过后，方可结项。</w:t>
      </w:r>
    </w:p>
    <w:p>
      <w:pPr>
        <w:rPr>
          <w:rFonts w:hint="eastAsia" w:eastAsia="楷体_GB2312"/>
          <w:sz w:val="36"/>
          <w:highlight w:val="none"/>
        </w:rPr>
      </w:pPr>
    </w:p>
    <w:p>
      <w:pPr>
        <w:rPr>
          <w:rFonts w:hint="eastAsia"/>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rPr>
      </w:pPr>
      <w:bookmarkStart w:id="0" w:name="_GoBack"/>
      <w:bookmarkEnd w:id="0"/>
      <w:r>
        <w:rPr>
          <w:rFonts w:hint="default" w:ascii="Times New Roman" w:hAnsi="Times New Roman" w:eastAsia="黑体" w:cs="Times New Roman"/>
          <w:color w:val="000000"/>
          <w:kern w:val="2"/>
          <w:sz w:val="32"/>
          <w:szCs w:val="32"/>
          <w:lang w:val="en-US" w:eastAsia="zh-CN" w:bidi="ar"/>
        </w:rPr>
        <w:t>附表</w:t>
      </w:r>
    </w:p>
    <w:p>
      <w:pPr>
        <w:keepNext w:val="0"/>
        <w:keepLines w:val="0"/>
        <w:widowControl w:val="0"/>
        <w:suppressLineNumbers w:val="0"/>
        <w:spacing w:before="0" w:beforeAutospacing="0" w:after="0" w:afterAutospacing="0"/>
        <w:ind w:left="0" w:leftChars="0" w:right="0" w:firstLine="0" w:firstLineChars="0"/>
        <w:jc w:val="center"/>
        <w:rPr>
          <w:rFonts w:hint="default" w:ascii="Times New Roman" w:hAnsi="Times New Roman" w:eastAsia="方正小标宋简体" w:cs="Times New Roman"/>
          <w:bCs/>
          <w:color w:val="000000"/>
          <w:kern w:val="44"/>
          <w:sz w:val="44"/>
          <w:szCs w:val="44"/>
          <w:shd w:val="clear" w:color="auto" w:fill="FFFFFF"/>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20" w:lineRule="exact"/>
        <w:ind w:left="0" w:leftChars="0" w:right="0" w:firstLine="0" w:firstLineChars="0"/>
        <w:jc w:val="center"/>
        <w:textAlignment w:val="auto"/>
        <w:rPr>
          <w:rFonts w:hint="default" w:ascii="Times New Roman" w:hAnsi="Times New Roman" w:eastAsia="方正小标宋简体" w:cs="Times New Roman"/>
          <w:bCs/>
          <w:color w:val="000000"/>
          <w:kern w:val="44"/>
          <w:sz w:val="44"/>
          <w:szCs w:val="44"/>
          <w:shd w:val="clear" w:color="auto" w:fill="FFFFFF"/>
        </w:rPr>
      </w:pPr>
      <w:r>
        <w:rPr>
          <w:rFonts w:hint="eastAsia" w:ascii="方正小标宋简体" w:hAnsi="方正小标宋简体" w:eastAsia="方正小标宋简体" w:cs="方正小标宋简体"/>
          <w:kern w:val="0"/>
          <w:sz w:val="44"/>
          <w:szCs w:val="44"/>
          <w:lang w:val="en-US" w:eastAsia="zh-CN"/>
        </w:rPr>
        <w:t>知识产权纠纷多元化解决</w:t>
      </w:r>
      <w:r>
        <w:rPr>
          <w:rFonts w:hint="default" w:ascii="Times New Roman" w:hAnsi="Times New Roman" w:eastAsia="方正小标宋简体" w:cs="Times New Roman"/>
          <w:bCs/>
          <w:color w:val="000000"/>
          <w:kern w:val="44"/>
          <w:sz w:val="44"/>
          <w:szCs w:val="44"/>
          <w:shd w:val="clear" w:color="auto" w:fill="FFFFFF"/>
          <w:lang w:val="en-US" w:eastAsia="zh-CN" w:bidi="ar"/>
        </w:rPr>
        <w:t>项目申报书</w:t>
      </w: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lang w:val="en-US" w:eastAsia="zh-CN" w:bidi="ar"/>
        </w:rPr>
      </w:pP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rPr>
      </w:pPr>
      <w:r>
        <w:rPr>
          <w:rFonts w:hint="default" w:ascii="Times New Roman" w:hAnsi="Times New Roman" w:eastAsia="楷体_GB2312" w:cs="Times New Roman"/>
          <w:color w:val="000000"/>
          <w:kern w:val="2"/>
          <w:sz w:val="36"/>
          <w:szCs w:val="36"/>
          <w:lang w:val="en-US" w:eastAsia="zh-CN" w:bidi="ar"/>
        </w:rPr>
        <w:t xml:space="preserve"> </w:t>
      </w:r>
    </w:p>
    <w:tbl>
      <w:tblPr>
        <w:tblStyle w:val="9"/>
        <w:tblW w:w="87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项目名称：</w:t>
            </w:r>
          </w:p>
        </w:tc>
        <w:tc>
          <w:tcPr>
            <w:tcW w:w="6705"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360" w:lineRule="auto"/>
              <w:ind w:left="0" w:right="0"/>
              <w:jc w:val="both"/>
              <w:rPr>
                <w:rFonts w:hint="default" w:ascii="Times New Roman" w:hAnsi="Times New Roman" w:eastAsia="仿宋_GB2312" w:cs="Times New Roman"/>
                <w:color w:val="000000"/>
                <w:kern w:val="2"/>
                <w:sz w:val="32"/>
                <w:szCs w:val="32"/>
                <w:u w:val="single"/>
              </w:rPr>
            </w:pPr>
            <w:r>
              <w:rPr>
                <w:rFonts w:hint="default" w:ascii="Times New Roman" w:hAnsi="Times New Roman" w:eastAsia="仿宋_GB2312" w:cs="Times New Roman"/>
                <w:color w:val="000000"/>
                <w:spacing w:val="0"/>
                <w:kern w:val="2"/>
                <w:sz w:val="32"/>
                <w:szCs w:val="32"/>
                <w:u w:val="single"/>
                <w:shd w:val="clear" w:color="auto" w:fill="FFFFFF"/>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项目联系人：</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单位及职务：</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工作电话：</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手机号码：</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电子邮箱：</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 xml:space="preserve">  </w:t>
      </w:r>
    </w:p>
    <w:p>
      <w:pPr>
        <w:pStyle w:val="6"/>
        <w:keepNext w:val="0"/>
        <w:keepLines w:val="0"/>
        <w:widowControl w:val="0"/>
        <w:suppressLineNumbers w:val="0"/>
        <w:spacing w:before="0" w:beforeAutospacing="0" w:after="0" w:afterAutospacing="0"/>
        <w:ind w:left="0" w:right="0" w:firstLine="630"/>
        <w:jc w:val="both"/>
        <w:rPr>
          <w:rFonts w:hint="default" w:ascii="Times New Roman" w:hAnsi="Times New Roman" w:eastAsia="楷体_GB2312" w:cs="Times New Roman"/>
          <w:bCs/>
          <w:color w:val="000000"/>
          <w:kern w:val="2"/>
          <w:sz w:val="36"/>
          <w:szCs w:val="36"/>
        </w:rPr>
      </w:pPr>
      <w:r>
        <w:rPr>
          <w:rFonts w:hint="default" w:ascii="Times New Roman" w:hAnsi="Times New Roman" w:eastAsia="楷体_GB2312" w:cs="Times New Roman"/>
          <w:bCs/>
          <w:color w:val="000000"/>
          <w:kern w:val="2"/>
          <w:sz w:val="36"/>
          <w:szCs w:val="36"/>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rPr>
      </w:pPr>
      <w:r>
        <w:rPr>
          <w:rFonts w:hint="default" w:ascii="Times New Roman" w:hAnsi="Times New Roman" w:eastAsia="仿宋_GB2312" w:cs="Times New Roman"/>
          <w:color w:val="000000"/>
          <w:kern w:val="2"/>
          <w:sz w:val="32"/>
          <w:szCs w:val="32"/>
          <w:lang w:val="en-US" w:eastAsia="zh-CN" w:bidi="ar"/>
        </w:rPr>
        <w:t xml:space="preserve"> </w:t>
      </w:r>
    </w:p>
    <w:p>
      <w:pPr>
        <w:rPr>
          <w:rFonts w:hint="default" w:ascii="Times New Roman" w:hAnsi="Times New Roman" w:eastAsia="仿宋_GB2312" w:cs="Times New Roman"/>
          <w:color w:val="000000"/>
          <w:kern w:val="2"/>
          <w:sz w:val="32"/>
          <w:szCs w:val="32"/>
          <w:lang w:val="en-US" w:eastAsia="zh-CN" w:bidi="ar"/>
        </w:rPr>
      </w:pPr>
    </w:p>
    <w:p>
      <w:pPr>
        <w:pStyle w:val="2"/>
        <w:numPr>
          <w:ilvl w:val="0"/>
          <w:numId w:val="0"/>
        </w:numPr>
        <w:ind w:leftChars="0"/>
        <w:rPr>
          <w:rFonts w:hint="default"/>
        </w:rPr>
      </w:pPr>
    </w:p>
    <w:p>
      <w:pPr>
        <w:rPr>
          <w:rFonts w:hint="default"/>
        </w:rPr>
      </w:pPr>
    </w:p>
    <w:p>
      <w:pPr>
        <w:pStyle w:val="2"/>
        <w:numPr>
          <w:ilvl w:val="0"/>
          <w:numId w:val="0"/>
        </w:numPr>
        <w:ind w:leftChars="0"/>
        <w:rPr>
          <w:rFonts w:hint="default"/>
        </w:rPr>
      </w:pP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楷体_GB2312" w:cs="Times New Roman"/>
          <w:bCs/>
          <w:color w:val="000000"/>
          <w:kern w:val="2"/>
          <w:sz w:val="32"/>
          <w:szCs w:val="32"/>
          <w:lang w:val="en-US" w:eastAsia="zh-CN" w:bidi="ar"/>
        </w:rPr>
      </w:pPr>
      <w:r>
        <w:rPr>
          <w:rFonts w:hint="eastAsia" w:eastAsia="楷体_GB2312" w:cs="Times New Roman"/>
          <w:bCs/>
          <w:color w:val="000000"/>
          <w:kern w:val="2"/>
          <w:sz w:val="32"/>
          <w:szCs w:val="32"/>
          <w:lang w:val="en-US" w:eastAsia="zh-CN" w:bidi="ar"/>
        </w:rPr>
        <w:t>肇庆市</w:t>
      </w:r>
      <w:r>
        <w:rPr>
          <w:rFonts w:hint="default" w:ascii="Times New Roman" w:hAnsi="Times New Roman" w:eastAsia="楷体_GB2312" w:cs="Times New Roman"/>
          <w:bCs/>
          <w:color w:val="000000"/>
          <w:kern w:val="2"/>
          <w:sz w:val="32"/>
          <w:szCs w:val="32"/>
          <w:lang w:val="en-US" w:eastAsia="zh-CN" w:bidi="ar"/>
        </w:rPr>
        <w:t>市场监督管理局（知识产权局）编制</w:t>
      </w:r>
    </w:p>
    <w:p>
      <w:pPr>
        <w:rPr>
          <w:rFonts w:hint="default"/>
          <w:lang w:val="en-US" w:eastAsia="zh-CN"/>
        </w:rPr>
      </w:pPr>
    </w:p>
    <w:p>
      <w:pPr>
        <w:keepNext w:val="0"/>
        <w:keepLines w:val="0"/>
        <w:widowControl w:val="0"/>
        <w:suppressLineNumbers w:val="0"/>
        <w:spacing w:before="0" w:beforeAutospacing="0" w:after="0" w:afterAutospacing="0" w:line="660" w:lineRule="exact"/>
        <w:ind w:left="0" w:right="0"/>
        <w:jc w:val="center"/>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lang w:val="en-US" w:eastAsia="zh-CN" w:bidi="ar"/>
        </w:rPr>
        <w:t>填表说明</w:t>
      </w:r>
    </w:p>
    <w:p>
      <w:pPr>
        <w:pStyle w:val="6"/>
        <w:keepNext w:val="0"/>
        <w:keepLines w:val="0"/>
        <w:widowControl w:val="0"/>
        <w:suppressLineNumbers w:val="0"/>
        <w:spacing w:before="0" w:beforeAutospacing="0" w:after="0" w:afterAutospacing="0"/>
        <w:ind w:left="0" w:right="0" w:firstLine="630"/>
        <w:jc w:val="both"/>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val="0"/>
        <w:numPr>
          <w:ilvl w:val="0"/>
          <w:numId w:val="2"/>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eastAsia="仿宋_GB2312" w:cs="Times New Roman"/>
          <w:color w:val="000000"/>
          <w:kern w:val="2"/>
          <w:sz w:val="32"/>
          <w:szCs w:val="32"/>
          <w:lang w:val="en-US" w:eastAsia="zh-CN" w:bidi="ar"/>
        </w:rPr>
        <w:t>本申请书适用于202</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年</w:t>
      </w:r>
      <w:r>
        <w:rPr>
          <w:rFonts w:hint="eastAsia" w:cs="Times New Roman"/>
          <w:color w:val="000000"/>
          <w:kern w:val="2"/>
          <w:sz w:val="32"/>
          <w:szCs w:val="32"/>
          <w:lang w:val="en-US" w:eastAsia="zh-CN" w:bidi="ar"/>
        </w:rPr>
        <w:t>肇庆市</w:t>
      </w:r>
      <w:r>
        <w:rPr>
          <w:rFonts w:hint="default" w:ascii="Times New Roman" w:hAnsi="Times New Roman" w:eastAsia="仿宋_GB2312" w:cs="Times New Roman"/>
          <w:color w:val="000000"/>
          <w:kern w:val="2"/>
          <w:sz w:val="32"/>
          <w:szCs w:val="32"/>
          <w:lang w:val="en-US" w:eastAsia="zh-CN" w:bidi="ar"/>
        </w:rPr>
        <w:t>知识产权专项经费</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的申报工作。</w:t>
      </w:r>
    </w:p>
    <w:p>
      <w:pPr>
        <w:keepNext w:val="0"/>
        <w:keepLines w:val="0"/>
        <w:widowControl w:val="0"/>
        <w:numPr>
          <w:ilvl w:val="0"/>
          <w:numId w:val="0"/>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cs="Times New Roman"/>
          <w:color w:val="000000"/>
          <w:kern w:val="2"/>
          <w:sz w:val="32"/>
          <w:szCs w:val="32"/>
          <w:lang w:val="en-US" w:eastAsia="zh-CN" w:bidi="ar"/>
        </w:rPr>
        <w:t>二、</w:t>
      </w:r>
      <w:r>
        <w:rPr>
          <w:rFonts w:hint="default" w:ascii="Times New Roman" w:hAnsi="Times New Roman" w:eastAsia="仿宋_GB2312" w:cs="Times New Roman"/>
          <w:color w:val="000000"/>
          <w:kern w:val="2"/>
          <w:sz w:val="32"/>
          <w:szCs w:val="32"/>
          <w:lang w:val="en-US" w:eastAsia="zh-CN" w:bidi="ar"/>
        </w:rPr>
        <w:t>封面中项目编号不由申报单位填写。</w:t>
      </w:r>
    </w:p>
    <w:p>
      <w:pPr>
        <w:keepNext w:val="0"/>
        <w:keepLines w:val="0"/>
        <w:widowControl w:val="0"/>
        <w:numPr>
          <w:ilvl w:val="0"/>
          <w:numId w:val="0"/>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cs="Times New Roman"/>
          <w:color w:val="000000"/>
          <w:kern w:val="2"/>
          <w:sz w:val="32"/>
          <w:szCs w:val="32"/>
          <w:lang w:val="en-US" w:eastAsia="zh-CN" w:bidi="ar"/>
        </w:rPr>
        <w:t>三、</w:t>
      </w:r>
      <w:r>
        <w:rPr>
          <w:rFonts w:hint="default" w:ascii="Times New Roman" w:hAnsi="Times New Roman" w:eastAsia="仿宋_GB2312" w:cs="Times New Roman"/>
          <w:color w:val="000000"/>
          <w:kern w:val="2"/>
          <w:sz w:val="32"/>
          <w:szCs w:val="32"/>
          <w:lang w:val="en-US" w:eastAsia="zh-CN" w:bidi="ar"/>
        </w:rPr>
        <w:t>申报单位对本申请材料以及所附材料的合法性、真</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实性、准确性负责。</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四、申请书规格为A4纸，各栏不够填写时，请自行加页。申报书宜双面打印，并于左侧装订成册，一式</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份（加盖公章）。提交同时，须同时提交电子件（可编辑版word及盖章扫描PDF版）。</w:t>
      </w: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pStyle w:val="2"/>
        <w:numPr>
          <w:ilvl w:val="0"/>
          <w:numId w:val="0"/>
        </w:numPr>
        <w:ind w:leftChars="0"/>
        <w:rPr>
          <w:rFonts w:hint="default"/>
          <w:lang w:val="en-US" w:eastAsia="zh-CN"/>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一、申报单位基本信息</w:t>
      </w:r>
    </w:p>
    <w:tbl>
      <w:tblPr>
        <w:tblStyle w:val="9"/>
        <w:tblW w:w="90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384"/>
        <w:gridCol w:w="2473"/>
        <w:gridCol w:w="690"/>
        <w:gridCol w:w="1212"/>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单位名称</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注册地址</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注册时间</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注册登记证</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注册登记号</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法定代表人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leftChars="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开户银行</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开户名称</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银行账号</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地址邮编</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负</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责</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restar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联</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系</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二、项目工作方案</w:t>
      </w:r>
    </w:p>
    <w:tbl>
      <w:tblPr>
        <w:tblStyle w:val="9"/>
        <w:tblW w:w="914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329"/>
        <w:gridCol w:w="5483"/>
        <w:gridCol w:w="2303"/>
        <w:gridCol w:w="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781" w:hRule="atLeast"/>
          <w:jc w:val="center"/>
        </w:trPr>
        <w:tc>
          <w:tcPr>
            <w:tcW w:w="1329" w:type="dxa"/>
            <w:vMerge w:val="restart"/>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任务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与资金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w:t>
            </w:r>
            <w:r>
              <w:rPr>
                <w:rFonts w:hint="eastAsia" w:cs="Times New Roman"/>
                <w:bCs/>
                <w:color w:val="000000"/>
                <w:spacing w:val="0"/>
                <w:kern w:val="2"/>
                <w:sz w:val="32"/>
                <w:szCs w:val="32"/>
                <w:lang w:val="en-US" w:eastAsia="zh-CN" w:bidi="ar"/>
              </w:rPr>
              <w:t>12</w:t>
            </w:r>
            <w:r>
              <w:rPr>
                <w:rFonts w:hint="default" w:ascii="Times New Roman" w:hAnsi="Times New Roman" w:eastAsia="仿宋_GB2312" w:cs="Times New Roman"/>
                <w:bCs/>
                <w:color w:val="000000"/>
                <w:spacing w:val="0"/>
                <w:kern w:val="2"/>
                <w:sz w:val="32"/>
                <w:szCs w:val="32"/>
                <w:lang w:val="en-US" w:eastAsia="zh-CN" w:bidi="ar"/>
              </w:rPr>
              <w:t>万元）</w:t>
            </w:r>
          </w:p>
        </w:tc>
        <w:tc>
          <w:tcPr>
            <w:tcW w:w="5483" w:type="dxa"/>
            <w:tcBorders>
              <w:top w:val="single" w:color="auto" w:sz="4"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目标任务及工作内容</w:t>
            </w:r>
          </w:p>
        </w:tc>
        <w:tc>
          <w:tcPr>
            <w:tcW w:w="2332" w:type="dxa"/>
            <w:gridSpan w:val="2"/>
            <w:tcBorders>
              <w:top w:val="single" w:color="auto" w:sz="4" w:space="0"/>
              <w:left w:val="nil"/>
              <w:bottom w:val="single" w:color="000000" w:sz="6"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资金测算明细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90" w:hRule="atLeast"/>
          <w:jc w:val="center"/>
        </w:trPr>
        <w:tc>
          <w:tcPr>
            <w:tcW w:w="1329" w:type="dxa"/>
            <w:vMerge w:val="continue"/>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cs="Times New Roman"/>
                <w:color w:val="000000"/>
                <w:sz w:val="20"/>
                <w:szCs w:val="20"/>
              </w:rPr>
            </w:pPr>
          </w:p>
        </w:tc>
        <w:tc>
          <w:tcPr>
            <w:tcW w:w="5483" w:type="dxa"/>
            <w:tcBorders>
              <w:top w:val="single" w:color="000000" w:sz="6" w:space="0"/>
              <w:left w:val="nil"/>
              <w:bottom w:val="single" w:color="auto" w:sz="4"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（介绍项目的目标任务、工作内容，推进措施及实施方式等。可另附页，下同）</w:t>
            </w:r>
          </w:p>
        </w:tc>
        <w:tc>
          <w:tcPr>
            <w:tcW w:w="2332" w:type="dxa"/>
            <w:gridSpan w:val="2"/>
            <w:tcBorders>
              <w:top w:val="single" w:color="000000" w:sz="6" w:space="0"/>
              <w:left w:val="nil"/>
              <w:bottom w:val="single" w:color="auto" w:sz="4" w:space="0"/>
              <w:right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（按照工作量和支出标准形式，逐个任务做好资金测算，下同）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94"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工作基础及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保障措施</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（介绍申请本项目所具备的工作基础、制度规范，相关经验和优势资源，项目团队、智力支持、信息化设施等相关条件，推进项目顺利实施的保障性举措等）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6"/>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0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计划进度（至2025年</w:t>
            </w:r>
            <w:r>
              <w:rPr>
                <w:rFonts w:hint="eastAsia" w:ascii="Times New Roman" w:hAnsi="Times New Roman" w:cs="Times New Roman"/>
                <w:bCs/>
                <w:color w:val="000000"/>
                <w:spacing w:val="0"/>
                <w:kern w:val="2"/>
                <w:sz w:val="32"/>
                <w:szCs w:val="32"/>
                <w:lang w:val="en-US" w:eastAsia="zh-CN" w:bidi="ar"/>
              </w:rPr>
              <w:t>11</w:t>
            </w:r>
            <w:r>
              <w:rPr>
                <w:rFonts w:hint="default" w:ascii="Times New Roman" w:hAnsi="Times New Roman" w:eastAsia="仿宋_GB2312" w:cs="Times New Roman"/>
                <w:bCs/>
                <w:color w:val="000000"/>
                <w:spacing w:val="0"/>
                <w:kern w:val="2"/>
                <w:sz w:val="32"/>
                <w:szCs w:val="32"/>
                <w:lang w:val="en-US" w:eastAsia="zh-CN" w:bidi="ar"/>
              </w:rPr>
              <w:t>月）</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（工作总体进度时间安排、项目各阶段工作任务与阶段性目标，确保项目按时形成成果、提交项目总结报告）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6"/>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26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预期成果及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b/>
                <w:bCs w:val="0"/>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考核指标</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（项目实施的预期成果形式、可考核指标等）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6"/>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三、项目工作团队</w:t>
      </w:r>
      <w:r>
        <w:rPr>
          <w:rFonts w:hint="default" w:ascii="Times New Roman" w:hAnsi="Times New Roman" w:eastAsia="仿宋_GB2312" w:cs="Times New Roman"/>
          <w:color w:val="000000"/>
          <w:kern w:val="2"/>
          <w:sz w:val="32"/>
          <w:szCs w:val="32"/>
          <w:lang w:val="en-US" w:eastAsia="zh-CN" w:bidi="ar"/>
        </w:rPr>
        <w:t>（可据工作需求而增加空格）</w:t>
      </w:r>
    </w:p>
    <w:tbl>
      <w:tblPr>
        <w:tblStyle w:val="9"/>
        <w:tblW w:w="92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854"/>
        <w:gridCol w:w="966"/>
        <w:gridCol w:w="1247"/>
        <w:gridCol w:w="994"/>
        <w:gridCol w:w="1275"/>
        <w:gridCol w:w="945"/>
        <w:gridCol w:w="1009"/>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姓名</w:t>
            </w: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出生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年份</w:t>
            </w: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w:t>
            </w: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职称</w:t>
            </w: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所学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专业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及学历</w:t>
            </w: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现从事专业</w:t>
            </w: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在项目中任务</w:t>
            </w: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主要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成员</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rPr>
          <w:rFonts w:hint="default"/>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四、单位意见 </w:t>
      </w:r>
    </w:p>
    <w:tbl>
      <w:tblPr>
        <w:tblStyle w:val="9"/>
        <w:tblW w:w="925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21"/>
        <w:gridCol w:w="72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650" w:hRule="atLeast"/>
          <w:jc w:val="center"/>
        </w:trPr>
        <w:tc>
          <w:tcPr>
            <w:tcW w:w="2021"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意见</w:t>
            </w:r>
          </w:p>
        </w:tc>
        <w:tc>
          <w:tcPr>
            <w:tcW w:w="7238" w:type="dxa"/>
            <w:tcBorders>
              <w:top w:val="single" w:color="000000" w:sz="6"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负责人签名：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单位盖章：</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年      月      日</w:t>
            </w:r>
          </w:p>
        </w:tc>
      </w:tr>
    </w:tbl>
    <w:p/>
    <w:p>
      <w:pPr>
        <w:rPr>
          <w:rFonts w:ascii="方正小标宋简体" w:hAnsi="方正小标宋简体" w:eastAsia="方正小标宋简体" w:cs="方正小标宋简体"/>
          <w:sz w:val="44"/>
          <w:szCs w:val="44"/>
          <w:highlight w:val="none"/>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小标宋">
    <w:altName w:val="方正小标宋_GBK"/>
    <w:panose1 w:val="00000000000000000000"/>
    <w:charset w:val="00"/>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ESI楷体-GB2312">
    <w:altName w:val="楷体_GB2312"/>
    <w:panose1 w:val="02000500000000000000"/>
    <w:charset w:val="86"/>
    <w:family w:val="auto"/>
    <w:pitch w:val="default"/>
    <w:sig w:usb0="00000000" w:usb1="00000000" w:usb2="00000012" w:usb3="00000000" w:csb0="0004000F" w:csb1="00000000"/>
  </w:font>
  <w:font w:name="楷体_GB2312">
    <w:panose1 w:val="02010609030101010101"/>
    <w:charset w:val="86"/>
    <w:family w:val="modern"/>
    <w:pitch w:val="default"/>
    <w:sig w:usb0="00000001" w:usb1="080E0000" w:usb2="00000000" w:usb3="00000000" w:csb0="00040000" w:csb1="00000000"/>
  </w:font>
  <w:font w:name="方正书宋_GBK">
    <w:altName w:val="方正兰亭超细黑简体"/>
    <w:panose1 w:val="02000000000000000000"/>
    <w:charset w:val="86"/>
    <w:family w:val="auto"/>
    <w:pitch w:val="default"/>
    <w:sig w:usb0="00000000" w:usb1="00000000" w:usb2="00000000" w:usb3="00000000" w:csb0="00040000" w:csb1="00000000"/>
  </w:font>
  <w:font w:name="方正黑体_GBK">
    <w:altName w:val="方正兰亭超细黑简体"/>
    <w:panose1 w:val="02000000000000000000"/>
    <w:charset w:val="86"/>
    <w:family w:val="auto"/>
    <w:pitch w:val="default"/>
    <w:sig w:usb0="00000000" w:usb1="00000000" w:usb2="00000000" w:usb3="00000000" w:csb0="00040000" w:csb1="00000000"/>
  </w:font>
  <w:font w:name="Nimbus Roman No9 L">
    <w:altName w:val="Latha"/>
    <w:panose1 w:val="00000000000000000000"/>
    <w:charset w:val="00"/>
    <w:family w:val="auto"/>
    <w:pitch w:val="default"/>
    <w:sig w:usb0="00000000" w:usb1="00000000" w:usb2="00000000" w:usb3="00000000" w:csb0="00000000" w:csb1="00000000"/>
  </w:font>
  <w:font w:name="方正楷体_GBK">
    <w:altName w:val="方正兰亭超细黑简体"/>
    <w:panose1 w:val="02000000000000000000"/>
    <w:charset w:val="86"/>
    <w:family w:val="auto"/>
    <w:pitch w:val="default"/>
    <w:sig w:usb0="00000000" w:usb1="00000000" w:usb2="00000000" w:usb3="00000000" w:csb0="00040000" w:csb1="00000000"/>
  </w:font>
  <w:font w:name="Shruti">
    <w:panose1 w:val="02000500000000000000"/>
    <w:charset w:val="00"/>
    <w:family w:val="auto"/>
    <w:pitch w:val="default"/>
    <w:sig w:usb0="0004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Latha">
    <w:panose1 w:val="02000400000000000000"/>
    <w:charset w:val="00"/>
    <w:family w:val="auto"/>
    <w:pitch w:val="default"/>
    <w:sig w:usb0="001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pPr>
                          <w:r>
                            <w:t xml:space="preserve">— </w:t>
                          </w:r>
                          <w:r>
                            <w:fldChar w:fldCharType="begin"/>
                          </w:r>
                          <w:r>
                            <w:instrText xml:space="preserve"> PAGE  \* MERGEFORMAT </w:instrText>
                          </w:r>
                          <w:r>
                            <w:fldChar w:fldCharType="separate"/>
                          </w:r>
                          <w:r>
                            <w:t>4</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oaYJL0wAAAAUBAAAPAAAAAAAAAAEAIAAAACIAAABkcnMvZG93&#10;bnJldi54bWxQSwECFAAUAAAACACHTuJAymrG18wBAAB6AwAADgAAAAAAAAABACAAAAAiAQAAZHJz&#10;L2Uyb0RvYy54bWxQSwUGAAAAAAYABgBZAQAAYAUAAAAA&#10;">
              <v:fill on="f" focussize="0,0"/>
              <v:stroke on="f" weight="1.2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4</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8704A2"/>
    <w:multiLevelType w:val="singleLevel"/>
    <w:tmpl w:val="638704A2"/>
    <w:lvl w:ilvl="0" w:tentative="0">
      <w:start w:val="1"/>
      <w:numFmt w:val="chineseCounting"/>
      <w:suff w:val="nothing"/>
      <w:lvlText w:val="%1、"/>
      <w:lvlJc w:val="left"/>
      <w:rPr>
        <w:rFonts w:hint="eastAsia"/>
      </w:rPr>
    </w:lvl>
  </w:abstractNum>
  <w:abstractNum w:abstractNumId="1">
    <w:nsid w:val="7D434B06"/>
    <w:multiLevelType w:val="multilevel"/>
    <w:tmpl w:val="7D434B06"/>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751E1"/>
    <w:rsid w:val="000830F4"/>
    <w:rsid w:val="00340B68"/>
    <w:rsid w:val="0088420F"/>
    <w:rsid w:val="009B5946"/>
    <w:rsid w:val="00A83AE7"/>
    <w:rsid w:val="00C27B24"/>
    <w:rsid w:val="00CD63EE"/>
    <w:rsid w:val="00F01281"/>
    <w:rsid w:val="019570FE"/>
    <w:rsid w:val="04762C84"/>
    <w:rsid w:val="04D31FEE"/>
    <w:rsid w:val="04D660C8"/>
    <w:rsid w:val="07044DAD"/>
    <w:rsid w:val="0E0D742E"/>
    <w:rsid w:val="11142F00"/>
    <w:rsid w:val="11EA14C2"/>
    <w:rsid w:val="14B345E0"/>
    <w:rsid w:val="14C0062E"/>
    <w:rsid w:val="18693153"/>
    <w:rsid w:val="1FC80E9D"/>
    <w:rsid w:val="22706B37"/>
    <w:rsid w:val="22CB15EC"/>
    <w:rsid w:val="236A0A99"/>
    <w:rsid w:val="25242A0C"/>
    <w:rsid w:val="28354909"/>
    <w:rsid w:val="28384134"/>
    <w:rsid w:val="2AEF31B2"/>
    <w:rsid w:val="2CFF4225"/>
    <w:rsid w:val="2D907C84"/>
    <w:rsid w:val="2DC26DD7"/>
    <w:rsid w:val="2DEF0399"/>
    <w:rsid w:val="32912E6F"/>
    <w:rsid w:val="33502170"/>
    <w:rsid w:val="360A1B18"/>
    <w:rsid w:val="38910273"/>
    <w:rsid w:val="39720D58"/>
    <w:rsid w:val="39A73975"/>
    <w:rsid w:val="3B4674EE"/>
    <w:rsid w:val="3F77E813"/>
    <w:rsid w:val="4A33403E"/>
    <w:rsid w:val="4C7D24C2"/>
    <w:rsid w:val="4DB4488C"/>
    <w:rsid w:val="53AF24ED"/>
    <w:rsid w:val="53ED5362"/>
    <w:rsid w:val="55A751E1"/>
    <w:rsid w:val="56434F74"/>
    <w:rsid w:val="56EA18E9"/>
    <w:rsid w:val="599D006D"/>
    <w:rsid w:val="637B44E0"/>
    <w:rsid w:val="63BEF38B"/>
    <w:rsid w:val="6B110C8E"/>
    <w:rsid w:val="6D4842E2"/>
    <w:rsid w:val="6EDBFB1C"/>
    <w:rsid w:val="6F772FF0"/>
    <w:rsid w:val="6F9EEF04"/>
    <w:rsid w:val="748C78F6"/>
    <w:rsid w:val="792B3BE6"/>
    <w:rsid w:val="79580683"/>
    <w:rsid w:val="7A857D88"/>
    <w:rsid w:val="7FE5C2DF"/>
    <w:rsid w:val="7FFB0EEF"/>
    <w:rsid w:val="7FFD61B9"/>
    <w:rsid w:val="B9DF18CA"/>
    <w:rsid w:val="BDCE4E1B"/>
    <w:rsid w:val="BFCF75A9"/>
    <w:rsid w:val="DBF766CB"/>
    <w:rsid w:val="DC8830DC"/>
    <w:rsid w:val="DDEF83C2"/>
    <w:rsid w:val="DDFBBBA2"/>
    <w:rsid w:val="DE6D15AC"/>
    <w:rsid w:val="F0FBE077"/>
    <w:rsid w:val="F16F6E17"/>
    <w:rsid w:val="F7EAACB7"/>
    <w:rsid w:val="F87B3D86"/>
  </w:rsids>
  <m:mathPr>
    <m:lMargin m:val="0"/>
    <m:rMargin m:val="0"/>
    <m:wrapIndent m:val="1440"/>
    <m:brkBin m:val="before"/>
    <m:brkBinSub m:val="--"/>
    <m:defJc m:val="centerGroup"/>
    <m:intLim m:val="subSup"/>
    <m:naryLim m:val="undOvr"/>
    <m:smallFrac m:val="0"/>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1"/>
    <w:qFormat/>
    <w:uiPriority w:val="0"/>
    <w:pPr>
      <w:keepNext/>
      <w:keepLines/>
      <w:numPr>
        <w:ilvl w:val="0"/>
        <w:numId w:val="1"/>
      </w:numPr>
      <w:outlineLvl w:val="0"/>
    </w:pPr>
    <w:rPr>
      <w:rFonts w:eastAsia="黑体"/>
      <w:bCs/>
      <w:kern w:val="44"/>
      <w:sz w:val="30"/>
      <w:szCs w:val="44"/>
    </w:rPr>
  </w:style>
  <w:style w:type="character" w:default="1" w:styleId="7">
    <w:name w:val="Default Paragraph Font"/>
    <w:unhideWhenUsed/>
    <w:qFormat/>
    <w:uiPriority w:val="1"/>
  </w:style>
  <w:style w:type="table" w:default="1" w:styleId="9">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3">
    <w:name w:val="Body Text"/>
    <w:basedOn w:val="1"/>
    <w:next w:val="1"/>
    <w:link w:val="12"/>
    <w:qFormat/>
    <w:uiPriority w:val="0"/>
    <w:pPr>
      <w:spacing w:after="120"/>
    </w:pPr>
    <w:rPr>
      <w:rFonts w:eastAsia="宋体"/>
      <w:sz w:val="21"/>
      <w:szCs w:val="20"/>
      <w:lang w:val="zh-CN" w:eastAsia="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ind w:left="0" w:right="0"/>
      <w:jc w:val="left"/>
    </w:pPr>
    <w:rPr>
      <w:rFonts w:ascii="宋体" w:hAnsi="宋体" w:eastAsia="宋体" w:cs="宋体"/>
      <w:kern w:val="0"/>
      <w:sz w:val="24"/>
      <w:szCs w:val="24"/>
      <w:lang w:val="en-US" w:eastAsia="zh-CN" w:bidi="ar"/>
    </w:rPr>
  </w:style>
  <w:style w:type="character" w:styleId="8">
    <w:name w:val="page number"/>
    <w:qFormat/>
    <w:uiPriority w:val="0"/>
  </w:style>
  <w:style w:type="paragraph" w:customStyle="1" w:styleId="10">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1">
    <w:name w:val="标题 1 Char"/>
    <w:basedOn w:val="7"/>
    <w:link w:val="2"/>
    <w:qFormat/>
    <w:uiPriority w:val="0"/>
    <w:rPr>
      <w:rFonts w:hint="eastAsia" w:ascii="黑体" w:hAnsi="宋体" w:eastAsia="黑体" w:cs="黑体"/>
      <w:b/>
      <w:bCs/>
      <w:kern w:val="44"/>
      <w:sz w:val="44"/>
      <w:szCs w:val="44"/>
    </w:rPr>
  </w:style>
  <w:style w:type="character" w:customStyle="1" w:styleId="12">
    <w:name w:val="正文文本 Char"/>
    <w:link w:val="3"/>
    <w:qFormat/>
    <w:uiPriority w:val="0"/>
    <w:rPr>
      <w:kern w:val="2"/>
      <w:sz w:val="21"/>
      <w:lang w:val="zh-CN" w:eastAsia="zh-CN"/>
    </w:rPr>
  </w:style>
  <w:style w:type="paragraph" w:customStyle="1" w:styleId="13">
    <w:name w:val="样式1"/>
    <w:basedOn w:val="2"/>
    <w:qFormat/>
    <w:uiPriority w:val="0"/>
    <w:pPr>
      <w:widowControl/>
      <w:adjustRightInd w:val="0"/>
      <w:snapToGrid w:val="0"/>
      <w:spacing w:before="100" w:beforeAutospacing="1" w:after="100" w:afterAutospacing="1" w:line="640" w:lineRule="exact"/>
      <w:jc w:val="center"/>
    </w:pPr>
    <w:rPr>
      <w:rFonts w:ascii="小标宋" w:hAnsi="宋体" w:eastAsia="小标宋"/>
      <w:bCs w:val="0"/>
      <w:color w:val="000000"/>
      <w:kern w:val="0"/>
    </w:rPr>
  </w:style>
  <w:style w:type="paragraph" w:customStyle="1" w:styleId="14">
    <w:name w:val="封面标准名称"/>
    <w:unhideWhenUsed/>
    <w:qFormat/>
    <w:uiPriority w:val="99"/>
    <w:pPr>
      <w:widowControl w:val="0"/>
      <w:spacing w:line="680" w:lineRule="exact"/>
      <w:jc w:val="center"/>
      <w:textAlignment w:val="center"/>
    </w:pPr>
    <w:rPr>
      <w:rFonts w:hint="eastAsia" w:ascii="黑体" w:hAnsi="Times New Roman" w:eastAsia="黑体" w:cs="Times New Roman"/>
      <w:sz w:val="52"/>
      <w:szCs w:val="22"/>
      <w:lang w:val="en-US" w:eastAsia="zh-CN" w:bidi="ar-SA"/>
    </w:rPr>
  </w:style>
  <w:style w:type="paragraph" w:customStyle="1" w:styleId="15">
    <w:name w:val="正文1"/>
    <w:qFormat/>
    <w:uiPriority w:val="0"/>
    <w:pPr>
      <w:widowControl w:val="0"/>
      <w:jc w:val="both"/>
    </w:pPr>
    <w:rPr>
      <w:rFonts w:hint="eastAsia" w:ascii="Times New Roman" w:hAnsi="Times New Roman" w:eastAsia="宋体" w:cs="Times New Roman"/>
      <w:kern w:val="2"/>
      <w:sz w:val="21"/>
      <w:szCs w:val="22"/>
      <w:lang w:val="en-US" w:eastAsia="zh-CN" w:bidi="ar-SA"/>
    </w:rPr>
  </w:style>
  <w:style w:type="paragraph" w:customStyle="1" w:styleId="16">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Normal"/>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肇庆市市场监督管理局</Company>
  <Pages>10</Pages>
  <Words>455</Words>
  <Characters>2595</Characters>
  <Lines>21</Lines>
  <Paragraphs>6</Paragraphs>
  <TotalTime>0</TotalTime>
  <ScaleCrop>false</ScaleCrop>
  <LinksUpToDate>false</LinksUpToDate>
  <CharactersWithSpaces>3044</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2022-02-22T08:05:00Z</dcterms:created>
  <dc:creator>Administrator</dc:creator>
  <cp:lastModifiedBy>叶志勇</cp:lastModifiedBy>
  <cp:lastPrinted>2024-03-12T17:39:00Z</cp:lastPrinted>
  <dcterms:modified xsi:type="dcterms:W3CDTF">2025-02-18T03:14:15Z</dcterms:modified>
  <dc:title>附件5</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y fmtid="{D5CDD505-2E9C-101B-9397-08002B2CF9AE}" pid="3" name="ICV">
    <vt:lpwstr>F4A21D233D58465BA1F236395F914A5D</vt:lpwstr>
  </property>
</Properties>
</file>